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3A" w:rsidRPr="009A2440" w:rsidRDefault="00DF053A" w:rsidP="00DF053A">
      <w:pPr>
        <w:rPr>
          <w:b/>
          <w:sz w:val="30"/>
          <w:szCs w:val="30"/>
        </w:rPr>
      </w:pPr>
      <w:bookmarkStart w:id="0" w:name="_GoBack"/>
      <w:bookmarkEnd w:id="0"/>
      <w:r w:rsidRPr="009A2440">
        <w:rPr>
          <w:b/>
          <w:sz w:val="30"/>
          <w:szCs w:val="30"/>
        </w:rPr>
        <w:t>LEI MUNICIPAL Nº 1.166, DE 30 DE OUTUBRO DE 2017.</w:t>
      </w:r>
    </w:p>
    <w:p w:rsidR="00DF053A" w:rsidRDefault="00DF053A" w:rsidP="00DF053A">
      <w:pPr>
        <w:rPr>
          <w:b/>
        </w:rPr>
      </w:pPr>
    </w:p>
    <w:p w:rsidR="00DF053A" w:rsidRPr="009A2440" w:rsidRDefault="00DF053A" w:rsidP="00DF053A">
      <w:pPr>
        <w:rPr>
          <w:b/>
        </w:rPr>
      </w:pPr>
    </w:p>
    <w:p w:rsidR="00DF053A" w:rsidRPr="00DF053A" w:rsidRDefault="00DF053A" w:rsidP="00DF053A">
      <w:pPr>
        <w:pStyle w:val="Recuodecorpodetexto3"/>
        <w:ind w:left="2552"/>
        <w:jc w:val="both"/>
        <w:rPr>
          <w:b/>
          <w:i/>
          <w:sz w:val="24"/>
        </w:rPr>
      </w:pPr>
      <w:r w:rsidRPr="00DF053A">
        <w:rPr>
          <w:b/>
          <w:sz w:val="24"/>
        </w:rPr>
        <w:t>ESTIMA A RECEITA E FIXA A DESPESA DO MUNICÍPIO DE SUMIDOURO PARA O EXERCÍCIO FINANCEIRO DE 2018.</w:t>
      </w:r>
    </w:p>
    <w:p w:rsidR="00DF053A" w:rsidRDefault="00DF053A" w:rsidP="00DF053A">
      <w:pPr>
        <w:jc w:val="both"/>
        <w:rPr>
          <w:b/>
          <w:i/>
          <w:sz w:val="28"/>
        </w:rPr>
      </w:pPr>
    </w:p>
    <w:p w:rsidR="00DF053A" w:rsidRPr="00DF053A" w:rsidRDefault="00DF053A" w:rsidP="00DF053A">
      <w:pPr>
        <w:jc w:val="both"/>
        <w:rPr>
          <w:sz w:val="32"/>
        </w:rPr>
      </w:pPr>
      <w:r w:rsidRPr="00DF053A">
        <w:rPr>
          <w:sz w:val="28"/>
        </w:rPr>
        <w:t>A Câmara Municipal de Sumidouro aprova e Eu Sanciono a seguinte Lei:</w:t>
      </w:r>
    </w:p>
    <w:p w:rsidR="00DF053A" w:rsidRDefault="00DF053A" w:rsidP="00DF053A">
      <w:pPr>
        <w:ind w:left="1134" w:firstLine="284"/>
        <w:jc w:val="both"/>
      </w:pPr>
    </w:p>
    <w:p w:rsidR="00DF053A" w:rsidRPr="00DF053A" w:rsidRDefault="00DF053A" w:rsidP="00DF053A">
      <w:pPr>
        <w:pStyle w:val="Ttulo7"/>
        <w:jc w:val="center"/>
        <w:rPr>
          <w:rFonts w:ascii="Times New Roman" w:hAnsi="Times New Roman"/>
          <w:b/>
          <w:sz w:val="32"/>
          <w:u w:val="single"/>
        </w:rPr>
      </w:pPr>
      <w:r w:rsidRPr="00DF053A">
        <w:rPr>
          <w:rFonts w:ascii="Times New Roman" w:hAnsi="Times New Roman"/>
          <w:b/>
          <w:sz w:val="32"/>
          <w:u w:val="single"/>
        </w:rPr>
        <w:t>Título I</w:t>
      </w:r>
    </w:p>
    <w:p w:rsidR="00DF053A" w:rsidRPr="00DF053A" w:rsidRDefault="00DF053A" w:rsidP="00DF053A">
      <w:pPr>
        <w:pStyle w:val="Ttulo8"/>
        <w:jc w:val="center"/>
        <w:rPr>
          <w:rFonts w:ascii="Times New Roman" w:hAnsi="Times New Roman"/>
          <w:b/>
          <w:i w:val="0"/>
        </w:rPr>
      </w:pPr>
      <w:r w:rsidRPr="00DF053A">
        <w:rPr>
          <w:rFonts w:ascii="Times New Roman" w:hAnsi="Times New Roman"/>
          <w:b/>
          <w:i w:val="0"/>
        </w:rPr>
        <w:t>DAS DISPOSIÇÕES COMUNS</w:t>
      </w:r>
    </w:p>
    <w:p w:rsidR="00DF053A" w:rsidRDefault="00DF053A" w:rsidP="00DF053A">
      <w:pPr>
        <w:rPr>
          <w:rFonts w:ascii="Courier New" w:hAnsi="Courier New"/>
          <w:snapToGrid w:val="0"/>
        </w:rPr>
      </w:pPr>
    </w:p>
    <w:p w:rsidR="00DF053A" w:rsidRDefault="00DF053A" w:rsidP="00DF053A">
      <w:pPr>
        <w:rPr>
          <w:rFonts w:ascii="Courier New" w:hAnsi="Courier New"/>
          <w:snapToGrid w:val="0"/>
        </w:rPr>
      </w:pPr>
    </w:p>
    <w:p w:rsidR="00DF053A" w:rsidRDefault="00DF053A" w:rsidP="00DF053A">
      <w:pPr>
        <w:ind w:left="1134" w:hanging="1134"/>
        <w:jc w:val="both"/>
      </w:pPr>
      <w:r>
        <w:rPr>
          <w:b/>
        </w:rPr>
        <w:t>Art. 1º</w:t>
      </w:r>
      <w:r>
        <w:tab/>
        <w:t>Esta Lei estima a Receita e fixa a Despesa do Município de Sumidouro, para o exercício financeiro de 2018, compreendendo:</w:t>
      </w:r>
    </w:p>
    <w:p w:rsidR="00DF053A" w:rsidRDefault="00DF053A" w:rsidP="00DF053A">
      <w:pPr>
        <w:ind w:left="1418" w:hanging="1418"/>
        <w:jc w:val="both"/>
        <w:rPr>
          <w:b/>
        </w:rPr>
      </w:pPr>
    </w:p>
    <w:p w:rsidR="00DF053A" w:rsidRDefault="00DF053A" w:rsidP="00DF053A">
      <w:pPr>
        <w:ind w:left="1134" w:hanging="425"/>
        <w:jc w:val="both"/>
      </w:pPr>
      <w:r>
        <w:rPr>
          <w:b/>
        </w:rPr>
        <w:t>I</w:t>
      </w:r>
      <w:r>
        <w:rPr>
          <w:b/>
        </w:rPr>
        <w:tab/>
      </w:r>
      <w:r>
        <w:t>O Orçamento Fiscal, referente aos Poderes do Município, seus fundos, órgãos e entidades da Administração Pública Municipal direta e indireta;</w:t>
      </w:r>
    </w:p>
    <w:p w:rsidR="00DF053A" w:rsidRDefault="00DF053A" w:rsidP="00DF053A">
      <w:pPr>
        <w:ind w:left="1134" w:hanging="425"/>
        <w:jc w:val="both"/>
        <w:rPr>
          <w:b/>
        </w:rPr>
      </w:pPr>
    </w:p>
    <w:p w:rsidR="00DF053A" w:rsidRDefault="00DF053A" w:rsidP="00DF053A">
      <w:pPr>
        <w:ind w:left="1134" w:hanging="425"/>
        <w:jc w:val="both"/>
        <w:rPr>
          <w:b/>
        </w:rPr>
      </w:pPr>
      <w:r>
        <w:rPr>
          <w:b/>
        </w:rPr>
        <w:t>II</w:t>
      </w:r>
      <w:r>
        <w:rPr>
          <w:b/>
        </w:rPr>
        <w:tab/>
      </w:r>
      <w:r>
        <w:t>O Orçamento da Seguridade Social, abrangendo todas as entidades e órgãos da Administração direta e indireta a ele vinculado;</w:t>
      </w:r>
    </w:p>
    <w:p w:rsidR="00DF053A" w:rsidRDefault="00DF053A" w:rsidP="00DF053A">
      <w:pPr>
        <w:ind w:left="1418" w:hanging="1418"/>
        <w:jc w:val="both"/>
        <w:rPr>
          <w:b/>
        </w:rPr>
      </w:pPr>
    </w:p>
    <w:p w:rsidR="00DF053A" w:rsidRPr="00DF053A" w:rsidRDefault="00DF053A" w:rsidP="00DF053A">
      <w:pPr>
        <w:pStyle w:val="Ttulo7"/>
        <w:jc w:val="center"/>
        <w:rPr>
          <w:rFonts w:ascii="Times New Roman" w:hAnsi="Times New Roman"/>
          <w:b/>
          <w:sz w:val="32"/>
          <w:u w:val="single"/>
        </w:rPr>
      </w:pPr>
      <w:r w:rsidRPr="00DF053A">
        <w:rPr>
          <w:rFonts w:ascii="Times New Roman" w:hAnsi="Times New Roman"/>
          <w:b/>
          <w:sz w:val="32"/>
          <w:u w:val="single"/>
        </w:rPr>
        <w:t>Título II</w:t>
      </w:r>
    </w:p>
    <w:p w:rsidR="00DF053A" w:rsidRPr="00DF053A" w:rsidRDefault="00DF053A" w:rsidP="00DF053A">
      <w:pPr>
        <w:pStyle w:val="Ttulo8"/>
        <w:jc w:val="center"/>
        <w:rPr>
          <w:rFonts w:ascii="Times New Roman" w:hAnsi="Times New Roman"/>
          <w:b/>
          <w:i w:val="0"/>
        </w:rPr>
      </w:pPr>
      <w:r w:rsidRPr="00DF053A">
        <w:rPr>
          <w:rFonts w:ascii="Times New Roman" w:hAnsi="Times New Roman"/>
          <w:b/>
          <w:i w:val="0"/>
        </w:rPr>
        <w:t>DOS ORÇAMENTOS FISCAL E DA SEGURIDADE SOCIAL</w:t>
      </w:r>
    </w:p>
    <w:p w:rsidR="00DF053A" w:rsidRPr="00DF053A" w:rsidRDefault="00DF053A" w:rsidP="00DF053A">
      <w:pPr>
        <w:jc w:val="center"/>
        <w:rPr>
          <w:b/>
          <w:sz w:val="28"/>
        </w:rPr>
      </w:pPr>
    </w:p>
    <w:p w:rsidR="00DF053A" w:rsidRDefault="00DF053A" w:rsidP="00DF053A">
      <w:pPr>
        <w:jc w:val="center"/>
        <w:rPr>
          <w:b/>
        </w:rPr>
      </w:pPr>
      <w:r>
        <w:rPr>
          <w:b/>
        </w:rPr>
        <w:t>Capítulo I</w:t>
      </w:r>
    </w:p>
    <w:p w:rsidR="00DF053A" w:rsidRDefault="00DF053A" w:rsidP="00DF053A">
      <w:pPr>
        <w:jc w:val="center"/>
        <w:rPr>
          <w:b/>
        </w:rPr>
      </w:pPr>
      <w:r>
        <w:rPr>
          <w:b/>
        </w:rPr>
        <w:t>DA ESTIMATIVA DA RECEITA</w:t>
      </w:r>
    </w:p>
    <w:p w:rsidR="00DF053A" w:rsidRDefault="00DF053A" w:rsidP="00DF053A">
      <w:pPr>
        <w:pStyle w:val="Ttulo9"/>
      </w:pPr>
      <w:r>
        <w:t>Da Receita Total</w:t>
      </w:r>
    </w:p>
    <w:p w:rsidR="00DF053A" w:rsidRDefault="00DF053A" w:rsidP="00DF053A">
      <w:pPr>
        <w:ind w:left="1418" w:hanging="1418"/>
        <w:jc w:val="both"/>
        <w:rPr>
          <w:b/>
        </w:rPr>
      </w:pPr>
    </w:p>
    <w:p w:rsidR="00DF053A" w:rsidRDefault="00DF053A" w:rsidP="00DF053A">
      <w:pPr>
        <w:ind w:left="1134" w:hanging="1134"/>
        <w:jc w:val="both"/>
      </w:pPr>
      <w:r>
        <w:rPr>
          <w:b/>
        </w:rPr>
        <w:t>Art. 2º</w:t>
      </w:r>
      <w:r>
        <w:tab/>
        <w:t>A Receita Orçamentária, a preços correntes e conforme a legislação tributária vigente é estimada em R$ 66.290.100,00 (sessenta e seis milhões, duzentos e noventa mil e cem reais), desdobrada nos seguintes agregados:</w:t>
      </w:r>
    </w:p>
    <w:p w:rsidR="00DF053A" w:rsidRDefault="00DF053A" w:rsidP="00DF053A">
      <w:pPr>
        <w:ind w:left="1418" w:hanging="1418"/>
        <w:jc w:val="both"/>
      </w:pPr>
    </w:p>
    <w:p w:rsidR="00DF053A" w:rsidRDefault="00DF053A" w:rsidP="00DF053A">
      <w:pPr>
        <w:ind w:left="1134" w:hanging="425"/>
        <w:jc w:val="both"/>
      </w:pPr>
      <w:r>
        <w:rPr>
          <w:b/>
        </w:rPr>
        <w:t>I</w:t>
      </w:r>
      <w:r>
        <w:tab/>
        <w:t>Orçamento Fiscal, em R$ 41.118.548,36 (quarenta e um milhões, cento e dezoito mil, quinhentos e quarenta e oito reais e trinta e seis centavos);</w:t>
      </w:r>
    </w:p>
    <w:p w:rsidR="00DF053A" w:rsidRDefault="00DF053A" w:rsidP="00DF053A">
      <w:pPr>
        <w:ind w:left="1134" w:hanging="425"/>
        <w:jc w:val="both"/>
      </w:pPr>
    </w:p>
    <w:p w:rsidR="00DF053A" w:rsidRDefault="00DF053A" w:rsidP="00DF053A">
      <w:pPr>
        <w:ind w:left="1134" w:hanging="425"/>
        <w:jc w:val="both"/>
      </w:pPr>
      <w:r>
        <w:rPr>
          <w:b/>
        </w:rPr>
        <w:t>II</w:t>
      </w:r>
      <w:r>
        <w:tab/>
        <w:t>Orçamento da Seguridade Social, em R$ 25.171.551,64 (vinte e cinco milhões, cento e setenta e um mil, quinhentos e cinquenta e um reais e sessenta e quatro centavos);</w:t>
      </w:r>
    </w:p>
    <w:p w:rsidR="00DF053A" w:rsidRDefault="00DF053A" w:rsidP="00DF053A">
      <w:pPr>
        <w:ind w:left="1134" w:hanging="1134"/>
        <w:jc w:val="both"/>
        <w:rPr>
          <w:b/>
        </w:rPr>
      </w:pPr>
    </w:p>
    <w:p w:rsidR="00DF053A" w:rsidRDefault="00DF053A" w:rsidP="00DF053A">
      <w:pPr>
        <w:ind w:left="1134" w:hanging="1134"/>
        <w:jc w:val="both"/>
      </w:pPr>
      <w:r>
        <w:rPr>
          <w:b/>
        </w:rPr>
        <w:t>Art. 3º</w:t>
      </w:r>
      <w:r>
        <w:tab/>
        <w:t>As receitas são estimadas por Categoria Econômica, segundo a origem dos recursos, conforme o disposto no Anexo I.</w:t>
      </w:r>
    </w:p>
    <w:p w:rsidR="00DF053A" w:rsidRDefault="00DF053A" w:rsidP="00DF053A">
      <w:pPr>
        <w:ind w:left="1134" w:hanging="1134"/>
        <w:jc w:val="both"/>
      </w:pPr>
    </w:p>
    <w:p w:rsidR="00DF053A" w:rsidRDefault="00DF053A" w:rsidP="00DF053A">
      <w:pPr>
        <w:ind w:left="1134" w:hanging="1134"/>
        <w:jc w:val="both"/>
      </w:pPr>
      <w:r>
        <w:rPr>
          <w:b/>
        </w:rPr>
        <w:t>Art. 4º</w:t>
      </w:r>
      <w:r>
        <w:tab/>
        <w:t>A Receita será realizada com base no produto do que for arrecadado, na forma da legislação em vigor, de acordo com o desdobramento constante do Anexo II.</w:t>
      </w:r>
    </w:p>
    <w:p w:rsidR="00DF053A" w:rsidRDefault="00DF053A" w:rsidP="00DF053A">
      <w:pPr>
        <w:jc w:val="center"/>
        <w:rPr>
          <w:b/>
        </w:rPr>
      </w:pPr>
    </w:p>
    <w:p w:rsidR="00DF053A" w:rsidRDefault="00DF053A" w:rsidP="00DF053A">
      <w:pPr>
        <w:jc w:val="center"/>
        <w:rPr>
          <w:b/>
        </w:rPr>
      </w:pPr>
      <w:r>
        <w:rPr>
          <w:b/>
        </w:rPr>
        <w:t>Capítulo II</w:t>
      </w:r>
    </w:p>
    <w:p w:rsidR="00DF053A" w:rsidRDefault="00DF053A" w:rsidP="00DF053A">
      <w:pPr>
        <w:jc w:val="center"/>
        <w:rPr>
          <w:b/>
        </w:rPr>
      </w:pPr>
      <w:r>
        <w:rPr>
          <w:b/>
        </w:rPr>
        <w:t>DA FIXAÇÃO DA DESPESA</w:t>
      </w:r>
    </w:p>
    <w:p w:rsidR="00DF053A" w:rsidRDefault="00DF053A" w:rsidP="00DF053A">
      <w:pPr>
        <w:jc w:val="center"/>
        <w:rPr>
          <w:b/>
        </w:rPr>
      </w:pPr>
      <w:r>
        <w:rPr>
          <w:b/>
        </w:rPr>
        <w:t>Da Despesa Total</w:t>
      </w:r>
    </w:p>
    <w:p w:rsidR="00DF053A" w:rsidRDefault="00DF053A" w:rsidP="00DF053A">
      <w:pPr>
        <w:ind w:left="1418" w:hanging="1418"/>
        <w:jc w:val="both"/>
      </w:pPr>
    </w:p>
    <w:p w:rsidR="00DF053A" w:rsidRDefault="00DF053A" w:rsidP="00DF053A">
      <w:pPr>
        <w:ind w:left="1134" w:hanging="1134"/>
        <w:jc w:val="both"/>
      </w:pPr>
      <w:r>
        <w:rPr>
          <w:b/>
        </w:rPr>
        <w:t>Art. 5º</w:t>
      </w:r>
      <w:r>
        <w:tab/>
        <w:t>A Despesa Orçamentária, no mesmo valor da Receita Orçamentária, é fixada em R$ 66.290.100,00 (sessenta e seis milhões, duzentos e noventa mil e cem reais), desdobrada nos grupos de despesa, em conformidade com as Portarias e Manual Técnico Orçamentário, apresentando os seguintes agregados:</w:t>
      </w:r>
    </w:p>
    <w:p w:rsidR="00DF053A" w:rsidRDefault="00DF053A" w:rsidP="00DF053A">
      <w:pPr>
        <w:ind w:left="1418" w:hanging="1418"/>
        <w:jc w:val="both"/>
      </w:pPr>
    </w:p>
    <w:p w:rsidR="00DF053A" w:rsidRDefault="00DF053A" w:rsidP="00DF053A">
      <w:pPr>
        <w:ind w:left="1134" w:hanging="425"/>
        <w:jc w:val="both"/>
      </w:pPr>
      <w:r>
        <w:rPr>
          <w:b/>
        </w:rPr>
        <w:t>I</w:t>
      </w:r>
      <w:r>
        <w:rPr>
          <w:b/>
        </w:rPr>
        <w:tab/>
      </w:r>
      <w:r>
        <w:t>Orçamento Fiscal, em R$ 41.118.548,36 (quarenta e um milhões, cento e dezoito mil, quinhentos e quarenta e oito reais e trinta e seis centavos);</w:t>
      </w:r>
    </w:p>
    <w:p w:rsidR="00DF053A" w:rsidRDefault="00DF053A" w:rsidP="00DF053A">
      <w:pPr>
        <w:ind w:left="1134" w:hanging="425"/>
        <w:jc w:val="both"/>
        <w:rPr>
          <w:b/>
        </w:rPr>
      </w:pPr>
    </w:p>
    <w:p w:rsidR="00DF053A" w:rsidRDefault="00DF053A" w:rsidP="00DF053A">
      <w:pPr>
        <w:ind w:left="1134" w:hanging="425"/>
        <w:jc w:val="both"/>
      </w:pPr>
      <w:r>
        <w:rPr>
          <w:b/>
        </w:rPr>
        <w:t>II</w:t>
      </w:r>
      <w:r>
        <w:rPr>
          <w:b/>
        </w:rPr>
        <w:tab/>
      </w:r>
      <w:r>
        <w:t>Orçamento da Seguridade Social, em R$ 25.171.551,64 (vinte e cinco milhões, cento e setenta e um mil, quinhentos e cinquenta e um reais e sessenta e quatro centavos);</w:t>
      </w:r>
    </w:p>
    <w:p w:rsidR="00DF053A" w:rsidRDefault="00DF053A" w:rsidP="00DF053A">
      <w:pPr>
        <w:ind w:left="1134" w:hanging="425"/>
        <w:jc w:val="both"/>
        <w:rPr>
          <w:b/>
        </w:rPr>
      </w:pPr>
    </w:p>
    <w:p w:rsidR="00DF053A" w:rsidRDefault="00DF053A" w:rsidP="00DF053A">
      <w:pPr>
        <w:ind w:left="1134" w:hanging="1134"/>
        <w:jc w:val="both"/>
      </w:pPr>
      <w:r>
        <w:rPr>
          <w:b/>
        </w:rPr>
        <w:t>Art. 6º</w:t>
      </w:r>
      <w:r>
        <w:tab/>
        <w:t>Estão plenamente assegurados recursos para os investimentos em fase de execução, em conformidade com a Lei de Diretrizes Orçamentárias, que dispõe sobre as diretrizes orçamentárias para o exercício de 2018.</w:t>
      </w:r>
    </w:p>
    <w:p w:rsidR="00DF053A" w:rsidRDefault="00DF053A" w:rsidP="00DF053A">
      <w:pPr>
        <w:ind w:left="1418" w:hanging="1418"/>
        <w:jc w:val="both"/>
      </w:pPr>
    </w:p>
    <w:p w:rsidR="00DF053A" w:rsidRDefault="00DF053A" w:rsidP="00DF053A">
      <w:pPr>
        <w:jc w:val="center"/>
        <w:rPr>
          <w:b/>
        </w:rPr>
      </w:pPr>
      <w:r>
        <w:rPr>
          <w:b/>
        </w:rPr>
        <w:t>Capítulo III</w:t>
      </w:r>
    </w:p>
    <w:p w:rsidR="00DF053A" w:rsidRDefault="00DF053A" w:rsidP="00DF053A">
      <w:pPr>
        <w:jc w:val="center"/>
        <w:rPr>
          <w:b/>
        </w:rPr>
      </w:pPr>
      <w:r>
        <w:rPr>
          <w:b/>
        </w:rPr>
        <w:t>DA DISTRIBUIÇÃO DA DESPESA POR ÓRGÁO</w:t>
      </w:r>
    </w:p>
    <w:p w:rsidR="00DF053A" w:rsidRDefault="00DF053A" w:rsidP="00DF053A">
      <w:pPr>
        <w:ind w:left="1418" w:hanging="1418"/>
        <w:jc w:val="both"/>
      </w:pPr>
    </w:p>
    <w:p w:rsidR="00DF053A" w:rsidRDefault="00DF053A" w:rsidP="00DF053A">
      <w:pPr>
        <w:ind w:left="1134" w:hanging="1134"/>
        <w:jc w:val="both"/>
      </w:pPr>
      <w:r>
        <w:rPr>
          <w:b/>
        </w:rPr>
        <w:t>Art. 7º</w:t>
      </w:r>
      <w:r>
        <w:tab/>
        <w:t>A Despesa Total, fixada por Função, Poderes e Órgãos, está definida nos Anexos III e IV desta Lei.</w:t>
      </w:r>
    </w:p>
    <w:p w:rsidR="00DF053A" w:rsidRDefault="00DF053A" w:rsidP="00DF053A">
      <w:pPr>
        <w:ind w:left="1418" w:hanging="1418"/>
        <w:jc w:val="both"/>
      </w:pPr>
    </w:p>
    <w:p w:rsidR="00DF053A" w:rsidRDefault="00DF053A" w:rsidP="00DF053A">
      <w:pPr>
        <w:jc w:val="center"/>
        <w:rPr>
          <w:b/>
        </w:rPr>
      </w:pPr>
      <w:r>
        <w:rPr>
          <w:b/>
        </w:rPr>
        <w:t>Capítulo IV</w:t>
      </w:r>
    </w:p>
    <w:p w:rsidR="00DF053A" w:rsidRDefault="00DF053A" w:rsidP="00DF053A">
      <w:pPr>
        <w:jc w:val="center"/>
        <w:rPr>
          <w:b/>
        </w:rPr>
      </w:pPr>
      <w:r>
        <w:rPr>
          <w:b/>
        </w:rPr>
        <w:t>DA AUTORIZAÇÃO PARA ABERTURA DE CRÉDITO</w:t>
      </w:r>
    </w:p>
    <w:p w:rsidR="00DF053A" w:rsidRDefault="00DF053A" w:rsidP="00DF053A">
      <w:pPr>
        <w:ind w:left="1418" w:hanging="1418"/>
        <w:jc w:val="both"/>
      </w:pPr>
    </w:p>
    <w:p w:rsidR="00DF053A" w:rsidRDefault="00DF053A" w:rsidP="00DF053A">
      <w:pPr>
        <w:ind w:left="1134" w:hanging="1134"/>
        <w:jc w:val="both"/>
      </w:pPr>
      <w:r>
        <w:rPr>
          <w:b/>
        </w:rPr>
        <w:t>Art. 8º</w:t>
      </w:r>
      <w:r>
        <w:tab/>
        <w:t xml:space="preserve">Fica o Poder Executivo, respeitadas as demais prescrições constitucionais e nos termos da Lei nº. 4.320/64 autorizado a abrir créditos adicionais suplementares </w:t>
      </w:r>
      <w:r>
        <w:lastRenderedPageBreak/>
        <w:t>até o valor correspondente a 50 % (cinquenta por cento) do Orçamento Fiscal e da Seguridade Social, com a finalidade de incorporar valores às dotações que se tornarem insuficientes ou que excedam as previsões constantes desta Lei, criando elementos de despesa quando necessários, mediante a utilização de recursos provenientes de:</w:t>
      </w:r>
    </w:p>
    <w:p w:rsidR="00DF053A" w:rsidRDefault="00DF053A" w:rsidP="00DF053A">
      <w:pPr>
        <w:ind w:left="1134" w:hanging="1134"/>
        <w:jc w:val="both"/>
      </w:pPr>
    </w:p>
    <w:p w:rsidR="00DF053A" w:rsidRDefault="00DF053A" w:rsidP="00DF053A">
      <w:pPr>
        <w:ind w:left="1134" w:hanging="425"/>
        <w:jc w:val="both"/>
      </w:pPr>
      <w:r>
        <w:rPr>
          <w:b/>
        </w:rPr>
        <w:t>I</w:t>
      </w:r>
      <w:r>
        <w:rPr>
          <w:b/>
        </w:rPr>
        <w:tab/>
      </w:r>
      <w:r>
        <w:t>Anulação parcial ou total de dotações;</w:t>
      </w:r>
    </w:p>
    <w:p w:rsidR="00DF053A" w:rsidRDefault="00DF053A" w:rsidP="00DF053A">
      <w:pPr>
        <w:ind w:left="1134" w:hanging="425"/>
        <w:jc w:val="both"/>
        <w:rPr>
          <w:b/>
        </w:rPr>
      </w:pPr>
    </w:p>
    <w:p w:rsidR="00DF053A" w:rsidRDefault="00DF053A" w:rsidP="00DF053A">
      <w:pPr>
        <w:ind w:left="1134" w:hanging="425"/>
        <w:jc w:val="both"/>
      </w:pPr>
      <w:r>
        <w:rPr>
          <w:b/>
        </w:rPr>
        <w:t>II</w:t>
      </w:r>
      <w:r>
        <w:rPr>
          <w:b/>
        </w:rPr>
        <w:tab/>
      </w:r>
      <w:r>
        <w:t>Incorporação de superávit e/ou saldo financeiro disponível do exercício anterior, efetivamente apurados em balanço;</w:t>
      </w:r>
    </w:p>
    <w:p w:rsidR="00DF053A" w:rsidRDefault="00DF053A" w:rsidP="00DF053A">
      <w:pPr>
        <w:ind w:left="1134" w:hanging="425"/>
        <w:jc w:val="both"/>
        <w:rPr>
          <w:b/>
        </w:rPr>
      </w:pPr>
    </w:p>
    <w:p w:rsidR="00DF053A" w:rsidRDefault="00DF053A" w:rsidP="00DF053A">
      <w:pPr>
        <w:ind w:left="1134" w:hanging="425"/>
        <w:jc w:val="both"/>
      </w:pPr>
      <w:r>
        <w:rPr>
          <w:b/>
        </w:rPr>
        <w:t>III</w:t>
      </w:r>
      <w:r>
        <w:rPr>
          <w:b/>
        </w:rPr>
        <w:tab/>
      </w:r>
      <w:r>
        <w:t>Excesso de arrecadação em bases constantes.</w:t>
      </w:r>
    </w:p>
    <w:p w:rsidR="00DF053A" w:rsidRDefault="00DF053A" w:rsidP="00DF053A">
      <w:pPr>
        <w:ind w:left="1134" w:hanging="1134"/>
        <w:jc w:val="both"/>
      </w:pPr>
    </w:p>
    <w:p w:rsidR="00DF053A" w:rsidRDefault="00DF053A" w:rsidP="00DF053A">
      <w:pPr>
        <w:ind w:left="1134" w:hanging="1134"/>
        <w:jc w:val="both"/>
      </w:pPr>
      <w:r>
        <w:t>§ Único</w:t>
      </w:r>
      <w:r>
        <w:tab/>
        <w:t xml:space="preserve">Incluem-se na base de cálculo do limite a que se refere o </w:t>
      </w:r>
      <w:r>
        <w:rPr>
          <w:i/>
        </w:rPr>
        <w:t>caput</w:t>
      </w:r>
      <w:r>
        <w:t xml:space="preserve"> deste artigo, os valores correspondentes à amortização e encargos da dívida e às despesas financiadas com operações de crédito contratadas.</w:t>
      </w:r>
    </w:p>
    <w:p w:rsidR="00DF053A" w:rsidRDefault="00DF053A" w:rsidP="00DF053A">
      <w:pPr>
        <w:jc w:val="center"/>
        <w:rPr>
          <w:b/>
        </w:rPr>
      </w:pPr>
    </w:p>
    <w:p w:rsidR="00DF053A" w:rsidRDefault="00DF053A" w:rsidP="00DF053A">
      <w:pPr>
        <w:jc w:val="center"/>
        <w:rPr>
          <w:b/>
        </w:rPr>
      </w:pPr>
      <w:r>
        <w:rPr>
          <w:b/>
        </w:rPr>
        <w:t>Título III</w:t>
      </w:r>
    </w:p>
    <w:p w:rsidR="00DF053A" w:rsidRDefault="00DF053A" w:rsidP="00DF053A">
      <w:pPr>
        <w:jc w:val="center"/>
        <w:rPr>
          <w:b/>
        </w:rPr>
      </w:pPr>
      <w:r>
        <w:rPr>
          <w:b/>
        </w:rPr>
        <w:t>DAS DISPOSIÇÕES GERAIS</w:t>
      </w:r>
    </w:p>
    <w:p w:rsidR="00DF053A" w:rsidRDefault="00DF053A" w:rsidP="00DF053A">
      <w:pPr>
        <w:ind w:left="1134" w:hanging="1134"/>
        <w:jc w:val="both"/>
      </w:pPr>
    </w:p>
    <w:p w:rsidR="00DF053A" w:rsidRDefault="00DF053A" w:rsidP="00DF053A">
      <w:pPr>
        <w:ind w:left="1134" w:hanging="1134"/>
        <w:jc w:val="both"/>
      </w:pPr>
      <w:r>
        <w:rPr>
          <w:b/>
        </w:rPr>
        <w:t>Art. 9º</w:t>
      </w:r>
      <w:r>
        <w:tab/>
        <w:t>A utilização das dotações com origem de recursos em convênios fica condicionada à celebração dos instrumentos.</w:t>
      </w:r>
    </w:p>
    <w:p w:rsidR="00DF053A" w:rsidRDefault="00DF053A" w:rsidP="00DF053A">
      <w:pPr>
        <w:ind w:left="1134" w:hanging="1134"/>
        <w:jc w:val="both"/>
      </w:pPr>
    </w:p>
    <w:p w:rsidR="00DF053A" w:rsidRDefault="00DF053A" w:rsidP="00DF053A">
      <w:pPr>
        <w:jc w:val="center"/>
        <w:rPr>
          <w:b/>
        </w:rPr>
      </w:pPr>
      <w:r>
        <w:rPr>
          <w:b/>
        </w:rPr>
        <w:t>Título IV</w:t>
      </w:r>
    </w:p>
    <w:p w:rsidR="00DF053A" w:rsidRDefault="00DF053A" w:rsidP="00DF053A">
      <w:pPr>
        <w:jc w:val="center"/>
        <w:rPr>
          <w:b/>
        </w:rPr>
      </w:pPr>
      <w:r>
        <w:rPr>
          <w:b/>
        </w:rPr>
        <w:t>DAS DISPOSIÇÕES FINAIS</w:t>
      </w:r>
    </w:p>
    <w:p w:rsidR="00DF053A" w:rsidRDefault="00DF053A" w:rsidP="00DF053A">
      <w:pPr>
        <w:jc w:val="center"/>
        <w:rPr>
          <w:b/>
        </w:rPr>
      </w:pPr>
      <w:r>
        <w:rPr>
          <w:b/>
        </w:rPr>
        <w:t>Capítulo Único</w:t>
      </w:r>
    </w:p>
    <w:p w:rsidR="00DF053A" w:rsidRDefault="00DF053A" w:rsidP="00DF053A">
      <w:pPr>
        <w:ind w:left="1134" w:hanging="1134"/>
        <w:jc w:val="both"/>
      </w:pPr>
    </w:p>
    <w:p w:rsidR="00DF053A" w:rsidRDefault="00DF053A" w:rsidP="00DF053A">
      <w:pPr>
        <w:ind w:left="1134" w:hanging="1134"/>
        <w:jc w:val="both"/>
      </w:pPr>
      <w:r>
        <w:rPr>
          <w:b/>
        </w:rPr>
        <w:t>Art. 10</w:t>
      </w:r>
      <w:r>
        <w:tab/>
        <w:t>O Prefeito, no âmbito do Poder Executivo, poderá adotar parâmetros para utilização das dotações, de forma a compatibilizar as despesas à efetiva realização das receitas para garantir as metas de resultado primário, conforme a Lei de Diretrizes Orçamentárias.</w:t>
      </w:r>
    </w:p>
    <w:p w:rsidR="00DF053A" w:rsidRDefault="00DF053A" w:rsidP="00DF053A">
      <w:pPr>
        <w:ind w:left="1134" w:hanging="1134"/>
        <w:jc w:val="both"/>
      </w:pPr>
    </w:p>
    <w:p w:rsidR="00DF053A" w:rsidRDefault="00DF053A" w:rsidP="00DF053A">
      <w:pPr>
        <w:ind w:left="1134" w:hanging="1134"/>
        <w:jc w:val="both"/>
      </w:pPr>
      <w:r>
        <w:rPr>
          <w:b/>
        </w:rPr>
        <w:t>Art. 11</w:t>
      </w:r>
      <w:r>
        <w:tab/>
        <w:t>O Poder Executivo no prazo de 30 (trinta) dias após a publicação da Lei Orçamentária, divulgará por unidade orçamentária para cada órgão, que integram o orçamento de que trata esta Lei, o Quadro de Detalhamento da Despesa, especificando para cada categoria de programação, os elementos de despesas e os respectivos desdobramentos.</w:t>
      </w:r>
    </w:p>
    <w:p w:rsidR="00DF053A" w:rsidRDefault="00DF053A" w:rsidP="00DF053A">
      <w:pPr>
        <w:ind w:left="1134" w:hanging="1134"/>
        <w:jc w:val="both"/>
        <w:rPr>
          <w:b/>
        </w:rPr>
      </w:pPr>
    </w:p>
    <w:p w:rsidR="00DF053A" w:rsidRPr="00F70E21" w:rsidRDefault="00DF053A" w:rsidP="00DF053A">
      <w:pPr>
        <w:ind w:left="1134" w:hanging="1134"/>
        <w:jc w:val="both"/>
      </w:pPr>
      <w:r>
        <w:rPr>
          <w:b/>
        </w:rPr>
        <w:t>Art. 12</w:t>
      </w:r>
      <w:r>
        <w:rPr>
          <w:b/>
        </w:rPr>
        <w:tab/>
      </w:r>
      <w:r w:rsidRPr="00F70E21">
        <w:t>Para o orçamento de 201</w:t>
      </w:r>
      <w:r>
        <w:t>8</w:t>
      </w:r>
      <w:r w:rsidRPr="00F70E21">
        <w:t xml:space="preserve">, ficará o Poder Executivo obrigado a abrir crédito suplementar em favor do Poder Legislativo, no prazo improrrogável de até 30 dias, contados da divulgação das diferenças correspondentes ao eventual excesso de arrecadação em relação à previsão da Receita tributária e das transferências </w:t>
      </w:r>
      <w:r w:rsidRPr="00F70E21">
        <w:lastRenderedPageBreak/>
        <w:t>previstas no § 5º do art. 153 e nos arts. 158 e 159 da CF e das constantes do voto proferido no processo TCE/RJ nº. 210.512-9/04, efetivamente realizadas de 1º de janeiro de 201</w:t>
      </w:r>
      <w:r>
        <w:t>7</w:t>
      </w:r>
      <w:r w:rsidRPr="00F70E21">
        <w:t xml:space="preserve"> até 31 de dezembro de 201</w:t>
      </w:r>
      <w:r>
        <w:t>7</w:t>
      </w:r>
      <w:r w:rsidRPr="00F70E21">
        <w:t>, de modo a alcançar até o final do exercício de 201</w:t>
      </w:r>
      <w:r>
        <w:t>8</w:t>
      </w:r>
      <w:r w:rsidRPr="00F70E21">
        <w:t>, o limite de 7% (sete por cento) do valor previsto no art. 29-A, inciso IV, da constituição Federal</w:t>
      </w:r>
      <w:r>
        <w:t>.</w:t>
      </w:r>
    </w:p>
    <w:p w:rsidR="00DF053A" w:rsidRDefault="00DF053A" w:rsidP="00DF053A">
      <w:pPr>
        <w:ind w:left="1134" w:hanging="1134"/>
        <w:jc w:val="both"/>
      </w:pPr>
    </w:p>
    <w:p w:rsidR="00DF053A" w:rsidRDefault="00DF053A" w:rsidP="00DF053A">
      <w:pPr>
        <w:ind w:left="1134" w:hanging="1134"/>
        <w:jc w:val="both"/>
      </w:pPr>
      <w:r>
        <w:rPr>
          <w:b/>
        </w:rPr>
        <w:t>Art. 13</w:t>
      </w:r>
      <w:r>
        <w:tab/>
        <w:t>Esta Lei entrará em vigor na data de sua publicação, com efeitos a partir de 1º de janeiro de 2018, revogadas as disposições em contrário.</w:t>
      </w:r>
    </w:p>
    <w:p w:rsidR="00DF053A" w:rsidRDefault="00DF053A" w:rsidP="00DF053A">
      <w:pPr>
        <w:tabs>
          <w:tab w:val="left" w:pos="7938"/>
        </w:tabs>
        <w:ind w:left="1134" w:firstLine="284"/>
        <w:jc w:val="right"/>
      </w:pPr>
    </w:p>
    <w:p w:rsidR="00DF053A" w:rsidRDefault="00DF053A" w:rsidP="00DF053A">
      <w:pPr>
        <w:tabs>
          <w:tab w:val="left" w:pos="7938"/>
        </w:tabs>
        <w:ind w:left="1134" w:firstLine="284"/>
        <w:jc w:val="right"/>
      </w:pPr>
    </w:p>
    <w:p w:rsidR="00DF053A" w:rsidRDefault="00DF053A" w:rsidP="00DF053A">
      <w:pPr>
        <w:tabs>
          <w:tab w:val="left" w:pos="7938"/>
        </w:tabs>
        <w:ind w:left="1134" w:firstLine="284"/>
        <w:jc w:val="right"/>
      </w:pPr>
    </w:p>
    <w:p w:rsidR="00DF053A" w:rsidRDefault="00DF053A" w:rsidP="00DF053A">
      <w:pPr>
        <w:tabs>
          <w:tab w:val="left" w:pos="7938"/>
        </w:tabs>
        <w:ind w:left="1134" w:firstLine="284"/>
        <w:jc w:val="right"/>
      </w:pPr>
      <w:r>
        <w:t>Sumidouro, 30 de outubro de 2017.</w:t>
      </w:r>
    </w:p>
    <w:p w:rsidR="00DF053A" w:rsidRDefault="00DF053A" w:rsidP="00DF053A">
      <w:pPr>
        <w:tabs>
          <w:tab w:val="left" w:pos="7938"/>
        </w:tabs>
        <w:jc w:val="center"/>
        <w:rPr>
          <w:b/>
        </w:rPr>
      </w:pPr>
    </w:p>
    <w:p w:rsidR="00DF053A" w:rsidRDefault="00DF053A" w:rsidP="00DF053A">
      <w:pPr>
        <w:tabs>
          <w:tab w:val="left" w:pos="7938"/>
        </w:tabs>
        <w:jc w:val="center"/>
        <w:rPr>
          <w:b/>
        </w:rPr>
      </w:pPr>
    </w:p>
    <w:p w:rsidR="00DF053A" w:rsidRDefault="00DF053A" w:rsidP="00DF053A">
      <w:pPr>
        <w:tabs>
          <w:tab w:val="left" w:pos="7938"/>
        </w:tabs>
        <w:jc w:val="center"/>
        <w:rPr>
          <w:b/>
        </w:rPr>
      </w:pPr>
    </w:p>
    <w:p w:rsidR="00DF053A" w:rsidRDefault="00DF053A" w:rsidP="00DF053A">
      <w:pPr>
        <w:tabs>
          <w:tab w:val="left" w:pos="7938"/>
        </w:tabs>
        <w:jc w:val="center"/>
        <w:rPr>
          <w:b/>
        </w:rPr>
      </w:pPr>
      <w:r>
        <w:rPr>
          <w:b/>
        </w:rPr>
        <w:t>ELIÉSIO PERES DA SILVA</w:t>
      </w:r>
    </w:p>
    <w:p w:rsidR="00DF053A" w:rsidRPr="00DF053A" w:rsidRDefault="00DF053A" w:rsidP="00DF053A">
      <w:pPr>
        <w:pStyle w:val="Ttulo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053A">
        <w:rPr>
          <w:rFonts w:ascii="Times New Roman" w:hAnsi="Times New Roman" w:cs="Times New Roman"/>
          <w:i/>
          <w:sz w:val="24"/>
          <w:szCs w:val="24"/>
        </w:rPr>
        <w:t>Prefeito</w:t>
      </w:r>
    </w:p>
    <w:p w:rsidR="00DF053A" w:rsidRDefault="00DF053A" w:rsidP="003D5E4C">
      <w:pPr>
        <w:jc w:val="center"/>
      </w:pPr>
    </w:p>
    <w:p w:rsidR="00DF053A" w:rsidRDefault="00DF053A" w:rsidP="003D5E4C">
      <w:pPr>
        <w:jc w:val="center"/>
      </w:pPr>
    </w:p>
    <w:p w:rsidR="00DF053A" w:rsidRDefault="00DF053A" w:rsidP="003D5E4C">
      <w:pPr>
        <w:jc w:val="center"/>
      </w:pPr>
    </w:p>
    <w:p w:rsidR="00DF053A" w:rsidRDefault="00DF053A" w:rsidP="003D5E4C">
      <w:pPr>
        <w:jc w:val="center"/>
      </w:pPr>
    </w:p>
    <w:p w:rsidR="00DF053A" w:rsidRDefault="00DF053A" w:rsidP="003D5E4C">
      <w:pPr>
        <w:jc w:val="center"/>
      </w:pPr>
    </w:p>
    <w:p w:rsidR="00DF053A" w:rsidRDefault="00DF053A" w:rsidP="003D5E4C">
      <w:pPr>
        <w:jc w:val="center"/>
      </w:pPr>
    </w:p>
    <w:p w:rsidR="00DF053A" w:rsidRDefault="00DF053A" w:rsidP="003D5E4C">
      <w:pPr>
        <w:jc w:val="center"/>
      </w:pPr>
    </w:p>
    <w:p w:rsidR="00DF053A" w:rsidRDefault="00DF053A" w:rsidP="003D5E4C">
      <w:pPr>
        <w:jc w:val="center"/>
      </w:pPr>
    </w:p>
    <w:p w:rsidR="00DF053A" w:rsidRDefault="00DF053A" w:rsidP="003D5E4C">
      <w:pPr>
        <w:jc w:val="center"/>
      </w:pPr>
    </w:p>
    <w:p w:rsidR="00DF053A" w:rsidRDefault="00DF053A" w:rsidP="003D5E4C">
      <w:pPr>
        <w:jc w:val="center"/>
      </w:pPr>
    </w:p>
    <w:p w:rsidR="00DF053A" w:rsidRDefault="00DF053A" w:rsidP="003D5E4C">
      <w:pPr>
        <w:jc w:val="center"/>
      </w:pPr>
    </w:p>
    <w:p w:rsidR="00DF053A" w:rsidRDefault="00DF053A" w:rsidP="003D5E4C">
      <w:pPr>
        <w:jc w:val="center"/>
      </w:pPr>
    </w:p>
    <w:p w:rsidR="00DF053A" w:rsidRDefault="00DF053A" w:rsidP="003D5E4C">
      <w:pPr>
        <w:jc w:val="center"/>
      </w:pPr>
    </w:p>
    <w:p w:rsidR="00DF053A" w:rsidRDefault="00DF053A" w:rsidP="003D5E4C">
      <w:pPr>
        <w:jc w:val="center"/>
      </w:pPr>
    </w:p>
    <w:p w:rsidR="00DF053A" w:rsidRDefault="00DF053A" w:rsidP="003D5E4C">
      <w:pPr>
        <w:jc w:val="center"/>
      </w:pPr>
    </w:p>
    <w:p w:rsidR="00DF053A" w:rsidRDefault="00DF053A" w:rsidP="003D5E4C">
      <w:pPr>
        <w:jc w:val="center"/>
      </w:pPr>
    </w:p>
    <w:p w:rsidR="00DF053A" w:rsidRDefault="00DF053A" w:rsidP="003D5E4C">
      <w:pPr>
        <w:jc w:val="center"/>
      </w:pPr>
    </w:p>
    <w:p w:rsidR="00DF053A" w:rsidRDefault="00DF053A" w:rsidP="003D5E4C">
      <w:pPr>
        <w:jc w:val="center"/>
      </w:pPr>
    </w:p>
    <w:p w:rsidR="00DF053A" w:rsidRDefault="00DF053A" w:rsidP="003D5E4C">
      <w:pPr>
        <w:jc w:val="center"/>
      </w:pPr>
    </w:p>
    <w:p w:rsidR="00DF053A" w:rsidRDefault="00DF053A" w:rsidP="003D5E4C">
      <w:pPr>
        <w:jc w:val="center"/>
      </w:pPr>
    </w:p>
    <w:p w:rsidR="00DF053A" w:rsidRDefault="00DF053A" w:rsidP="003D5E4C">
      <w:pPr>
        <w:jc w:val="center"/>
      </w:pPr>
    </w:p>
    <w:p w:rsidR="00DF053A" w:rsidRDefault="00DF053A" w:rsidP="003D5E4C">
      <w:pPr>
        <w:jc w:val="center"/>
      </w:pPr>
    </w:p>
    <w:p w:rsidR="00DF053A" w:rsidRDefault="00DF053A" w:rsidP="003D5E4C">
      <w:pPr>
        <w:jc w:val="center"/>
      </w:pPr>
    </w:p>
    <w:p w:rsidR="00DF053A" w:rsidRPr="003D5E4C" w:rsidRDefault="00DF053A" w:rsidP="009B6789"/>
    <w:sectPr w:rsidR="00DF053A" w:rsidRPr="003D5E4C" w:rsidSect="00C84B90">
      <w:headerReference w:type="default" r:id="rId9"/>
      <w:footerReference w:type="default" r:id="rId10"/>
      <w:pgSz w:w="12240" w:h="15840"/>
      <w:pgMar w:top="1418" w:right="162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056" w:rsidRDefault="00257056">
      <w:r>
        <w:separator/>
      </w:r>
    </w:p>
  </w:endnote>
  <w:endnote w:type="continuationSeparator" w:id="0">
    <w:p w:rsidR="00257056" w:rsidRDefault="0025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81E" w:rsidRDefault="00B5381E" w:rsidP="00194F8A">
    <w:pPr>
      <w:pStyle w:val="Rodap"/>
      <w:pBdr>
        <w:bottom w:val="double" w:sz="6" w:space="1" w:color="auto"/>
      </w:pBdr>
      <w:jc w:val="center"/>
      <w:rPr>
        <w:rFonts w:ascii="Agency FB" w:hAnsi="Agency FB"/>
        <w:sz w:val="21"/>
        <w:szCs w:val="21"/>
      </w:rPr>
    </w:pPr>
  </w:p>
  <w:p w:rsidR="00B5381E" w:rsidRPr="00510FDA" w:rsidRDefault="00B5381E" w:rsidP="00194F8A">
    <w:pPr>
      <w:pStyle w:val="Rodap"/>
      <w:jc w:val="center"/>
      <w:rPr>
        <w:rFonts w:ascii="Agency FB" w:hAnsi="Agency FB"/>
        <w:sz w:val="21"/>
        <w:szCs w:val="21"/>
      </w:rPr>
    </w:pPr>
    <w:r w:rsidRPr="00510FDA">
      <w:rPr>
        <w:rFonts w:ascii="Agency FB" w:hAnsi="Agency FB"/>
        <w:sz w:val="21"/>
        <w:szCs w:val="21"/>
      </w:rPr>
      <w:t>Rua Alfredo Chaves, 39 – Centro – Sumidouro – RJ. CEP 28637-000  -  CNPJ 32.165.706/0001-08</w:t>
    </w:r>
  </w:p>
  <w:p w:rsidR="00B5381E" w:rsidRPr="00510FDA" w:rsidRDefault="00B5381E" w:rsidP="00194F8A">
    <w:pPr>
      <w:pStyle w:val="Rodap"/>
      <w:jc w:val="center"/>
      <w:rPr>
        <w:rFonts w:ascii="Agency FB" w:hAnsi="Agency FB"/>
        <w:color w:val="000000"/>
        <w:sz w:val="21"/>
        <w:szCs w:val="21"/>
      </w:rPr>
    </w:pPr>
    <w:r w:rsidRPr="00510FDA">
      <w:rPr>
        <w:rFonts w:ascii="Agency FB" w:hAnsi="Agency FB"/>
        <w:sz w:val="21"/>
        <w:szCs w:val="21"/>
      </w:rPr>
      <w:t xml:space="preserve">Tele fax: 22 – 25311128      -      E-mail: </w:t>
    </w:r>
    <w:r w:rsidRPr="00510FDA">
      <w:rPr>
        <w:rFonts w:ascii="Agency FB" w:hAnsi="Agency FB"/>
        <w:color w:val="000000"/>
        <w:sz w:val="21"/>
        <w:szCs w:val="21"/>
      </w:rPr>
      <w:t>gabinete@sumidouro.rj.gov.br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056" w:rsidRDefault="00257056">
      <w:r>
        <w:separator/>
      </w:r>
    </w:p>
  </w:footnote>
  <w:footnote w:type="continuationSeparator" w:id="0">
    <w:p w:rsidR="00257056" w:rsidRDefault="00257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81E" w:rsidRPr="00494D69" w:rsidRDefault="009B6789" w:rsidP="002253C9">
    <w:pPr>
      <w:pStyle w:val="Ttulo3"/>
      <w:ind w:left="2832" w:firstLine="3"/>
      <w:rPr>
        <w:rFonts w:ascii="Agency FB" w:hAnsi="Agency FB"/>
        <w:sz w:val="28"/>
        <w:szCs w:val="28"/>
      </w:rPr>
    </w:pPr>
    <w:r>
      <w:rPr>
        <w:rFonts w:ascii="Agency FB" w:hAnsi="Agency FB"/>
        <w:noProof/>
        <w:sz w:val="28"/>
        <w:szCs w:val="28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0</wp:posOffset>
          </wp:positionH>
          <wp:positionV relativeFrom="paragraph">
            <wp:posOffset>-235585</wp:posOffset>
          </wp:positionV>
          <wp:extent cx="1371600" cy="1240790"/>
          <wp:effectExtent l="0" t="0" r="0" b="0"/>
          <wp:wrapSquare wrapText="bothSides"/>
          <wp:docPr id="6" name="Imagem 6" descr="\\Prefeitura\c\Julio\julio\Foto\TIMBRE P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Prefeitura\c\Julio\julio\Foto\TIMBRE PM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40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81E" w:rsidRPr="00494D69">
      <w:rPr>
        <w:rFonts w:ascii="Agency FB" w:hAnsi="Agency FB"/>
        <w:sz w:val="28"/>
        <w:szCs w:val="28"/>
      </w:rPr>
      <w:t>ESTADO DO RIO DE JANEIRO                                                                               PREFEITURA MUNICIPAL DE SUMIDOURO                                                                              GABINETE DO PREFEITO</w:t>
    </w:r>
  </w:p>
  <w:p w:rsidR="00B5381E" w:rsidRPr="00494D69" w:rsidRDefault="00B5381E" w:rsidP="00AD0A46">
    <w:pPr>
      <w:jc w:val="center"/>
      <w:rPr>
        <w:rFonts w:ascii="Agency FB" w:hAnsi="Agency FB"/>
        <w:color w:val="0000FF"/>
        <w:sz w:val="20"/>
      </w:rPr>
    </w:pPr>
    <w:r w:rsidRPr="00494D69">
      <w:rPr>
        <w:rFonts w:ascii="Agency FB" w:hAnsi="Agency FB"/>
        <w:color w:val="0000FF"/>
        <w:sz w:val="20"/>
      </w:rPr>
      <w:t>www.sumidouro.rj.gov.br</w:t>
    </w:r>
  </w:p>
  <w:p w:rsidR="00B5381E" w:rsidRPr="00494D69" w:rsidRDefault="00B5381E" w:rsidP="00FC717B">
    <w:pPr>
      <w:rPr>
        <w:sz w:val="28"/>
        <w:szCs w:val="28"/>
      </w:rPr>
    </w:pPr>
    <w:r w:rsidRPr="00494D69">
      <w:rPr>
        <w:sz w:val="28"/>
        <w:szCs w:val="28"/>
      </w:rPr>
      <w:t>=================================</w:t>
    </w:r>
    <w:r>
      <w:rPr>
        <w:sz w:val="28"/>
        <w:szCs w:val="28"/>
      </w:rPr>
      <w:t>=======================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708C"/>
    <w:multiLevelType w:val="hybridMultilevel"/>
    <w:tmpl w:val="AF8E6566"/>
    <w:lvl w:ilvl="0" w:tplc="EAE013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B85C71"/>
    <w:multiLevelType w:val="hybridMultilevel"/>
    <w:tmpl w:val="F45E5C4E"/>
    <w:lvl w:ilvl="0" w:tplc="601A4798">
      <w:start w:val="1"/>
      <w:numFmt w:val="lowerLetter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14E476E"/>
    <w:multiLevelType w:val="hybridMultilevel"/>
    <w:tmpl w:val="CAC0BC8C"/>
    <w:lvl w:ilvl="0" w:tplc="E3B8A51C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8AA214C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16C2ADC"/>
    <w:multiLevelType w:val="hybridMultilevel"/>
    <w:tmpl w:val="4FD62DE4"/>
    <w:lvl w:ilvl="0" w:tplc="98BA7D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6C544F8"/>
    <w:multiLevelType w:val="hybridMultilevel"/>
    <w:tmpl w:val="025CE5FA"/>
    <w:lvl w:ilvl="0" w:tplc="47C009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00C17C4"/>
    <w:multiLevelType w:val="hybridMultilevel"/>
    <w:tmpl w:val="16D44564"/>
    <w:lvl w:ilvl="0" w:tplc="2D4645FA">
      <w:start w:val="2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17F58E8"/>
    <w:multiLevelType w:val="hybridMultilevel"/>
    <w:tmpl w:val="7C124202"/>
    <w:lvl w:ilvl="0" w:tplc="9A727B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FD"/>
    <w:rsid w:val="000304BF"/>
    <w:rsid w:val="000309AB"/>
    <w:rsid w:val="0006600D"/>
    <w:rsid w:val="000A1EBA"/>
    <w:rsid w:val="000B0768"/>
    <w:rsid w:val="000D2587"/>
    <w:rsid w:val="000D2A4F"/>
    <w:rsid w:val="001065AA"/>
    <w:rsid w:val="00121DD4"/>
    <w:rsid w:val="0013334F"/>
    <w:rsid w:val="00151904"/>
    <w:rsid w:val="00156D71"/>
    <w:rsid w:val="00164EB0"/>
    <w:rsid w:val="00172BE1"/>
    <w:rsid w:val="00193C85"/>
    <w:rsid w:val="00194F8A"/>
    <w:rsid w:val="001B2B10"/>
    <w:rsid w:val="001E5CB4"/>
    <w:rsid w:val="00205A1C"/>
    <w:rsid w:val="002253C9"/>
    <w:rsid w:val="00257056"/>
    <w:rsid w:val="002727A5"/>
    <w:rsid w:val="00290009"/>
    <w:rsid w:val="00291C0F"/>
    <w:rsid w:val="002A100A"/>
    <w:rsid w:val="002B35ED"/>
    <w:rsid w:val="002C23B5"/>
    <w:rsid w:val="002F41E6"/>
    <w:rsid w:val="002F4E79"/>
    <w:rsid w:val="00343CB4"/>
    <w:rsid w:val="00364B2B"/>
    <w:rsid w:val="0037512C"/>
    <w:rsid w:val="003807C1"/>
    <w:rsid w:val="003839C7"/>
    <w:rsid w:val="00386DA6"/>
    <w:rsid w:val="00387DF4"/>
    <w:rsid w:val="003A6426"/>
    <w:rsid w:val="003A6D4E"/>
    <w:rsid w:val="003D50E6"/>
    <w:rsid w:val="003D5E4C"/>
    <w:rsid w:val="003F7310"/>
    <w:rsid w:val="0040784B"/>
    <w:rsid w:val="00407CCB"/>
    <w:rsid w:val="00436970"/>
    <w:rsid w:val="00437F0E"/>
    <w:rsid w:val="00451906"/>
    <w:rsid w:val="00477358"/>
    <w:rsid w:val="0048594C"/>
    <w:rsid w:val="004871E0"/>
    <w:rsid w:val="00493384"/>
    <w:rsid w:val="00494D69"/>
    <w:rsid w:val="00497834"/>
    <w:rsid w:val="00497988"/>
    <w:rsid w:val="004F0DF8"/>
    <w:rsid w:val="00510FDA"/>
    <w:rsid w:val="0052774C"/>
    <w:rsid w:val="00532978"/>
    <w:rsid w:val="00537A1A"/>
    <w:rsid w:val="00574F22"/>
    <w:rsid w:val="00583423"/>
    <w:rsid w:val="005931C9"/>
    <w:rsid w:val="0059531F"/>
    <w:rsid w:val="005B0645"/>
    <w:rsid w:val="00601D81"/>
    <w:rsid w:val="00613FC1"/>
    <w:rsid w:val="006210F5"/>
    <w:rsid w:val="00653043"/>
    <w:rsid w:val="006570F5"/>
    <w:rsid w:val="0066213C"/>
    <w:rsid w:val="00662EBE"/>
    <w:rsid w:val="00671122"/>
    <w:rsid w:val="006876D0"/>
    <w:rsid w:val="006A213E"/>
    <w:rsid w:val="006C72E6"/>
    <w:rsid w:val="006D06BD"/>
    <w:rsid w:val="006E2DD4"/>
    <w:rsid w:val="006E5678"/>
    <w:rsid w:val="0074091D"/>
    <w:rsid w:val="007B00FD"/>
    <w:rsid w:val="007B1BE2"/>
    <w:rsid w:val="007C7762"/>
    <w:rsid w:val="007E3261"/>
    <w:rsid w:val="008001F4"/>
    <w:rsid w:val="00817DCE"/>
    <w:rsid w:val="00840474"/>
    <w:rsid w:val="00847622"/>
    <w:rsid w:val="008927A0"/>
    <w:rsid w:val="008B0E55"/>
    <w:rsid w:val="008B385D"/>
    <w:rsid w:val="008B51C5"/>
    <w:rsid w:val="008C6C5F"/>
    <w:rsid w:val="008F4E36"/>
    <w:rsid w:val="009210CD"/>
    <w:rsid w:val="009329EE"/>
    <w:rsid w:val="00932AE5"/>
    <w:rsid w:val="00944BE4"/>
    <w:rsid w:val="00956B94"/>
    <w:rsid w:val="00957FE7"/>
    <w:rsid w:val="00971BD7"/>
    <w:rsid w:val="0097495D"/>
    <w:rsid w:val="0097607A"/>
    <w:rsid w:val="00991B23"/>
    <w:rsid w:val="009A7D1D"/>
    <w:rsid w:val="009B6789"/>
    <w:rsid w:val="009C7394"/>
    <w:rsid w:val="00A070EF"/>
    <w:rsid w:val="00A13B61"/>
    <w:rsid w:val="00A17895"/>
    <w:rsid w:val="00A20CDC"/>
    <w:rsid w:val="00A24E7F"/>
    <w:rsid w:val="00A40630"/>
    <w:rsid w:val="00A4442A"/>
    <w:rsid w:val="00A50C27"/>
    <w:rsid w:val="00A52035"/>
    <w:rsid w:val="00A6367F"/>
    <w:rsid w:val="00A90266"/>
    <w:rsid w:val="00AA431C"/>
    <w:rsid w:val="00AB50D1"/>
    <w:rsid w:val="00AD0A46"/>
    <w:rsid w:val="00AD6A92"/>
    <w:rsid w:val="00AF0330"/>
    <w:rsid w:val="00B0021C"/>
    <w:rsid w:val="00B2419A"/>
    <w:rsid w:val="00B36475"/>
    <w:rsid w:val="00B5381E"/>
    <w:rsid w:val="00B74DE4"/>
    <w:rsid w:val="00B870F7"/>
    <w:rsid w:val="00B87C66"/>
    <w:rsid w:val="00BA4716"/>
    <w:rsid w:val="00BC371A"/>
    <w:rsid w:val="00BC5A0B"/>
    <w:rsid w:val="00BD7988"/>
    <w:rsid w:val="00BE529B"/>
    <w:rsid w:val="00BE72EB"/>
    <w:rsid w:val="00BF5F1F"/>
    <w:rsid w:val="00C02F82"/>
    <w:rsid w:val="00C042CF"/>
    <w:rsid w:val="00C06AB7"/>
    <w:rsid w:val="00C40448"/>
    <w:rsid w:val="00C73609"/>
    <w:rsid w:val="00C74D25"/>
    <w:rsid w:val="00C84B90"/>
    <w:rsid w:val="00C850F9"/>
    <w:rsid w:val="00C86143"/>
    <w:rsid w:val="00CD0B2C"/>
    <w:rsid w:val="00CD0FEF"/>
    <w:rsid w:val="00CE6C31"/>
    <w:rsid w:val="00D22D5D"/>
    <w:rsid w:val="00D30039"/>
    <w:rsid w:val="00D45DB3"/>
    <w:rsid w:val="00D56E7E"/>
    <w:rsid w:val="00D93A55"/>
    <w:rsid w:val="00D963B0"/>
    <w:rsid w:val="00DD0898"/>
    <w:rsid w:val="00DD0F48"/>
    <w:rsid w:val="00DE08B3"/>
    <w:rsid w:val="00DF053A"/>
    <w:rsid w:val="00DF1B42"/>
    <w:rsid w:val="00E04639"/>
    <w:rsid w:val="00E43CE6"/>
    <w:rsid w:val="00E7673F"/>
    <w:rsid w:val="00E77643"/>
    <w:rsid w:val="00EA6BE1"/>
    <w:rsid w:val="00ED1429"/>
    <w:rsid w:val="00ED1E38"/>
    <w:rsid w:val="00EE5A65"/>
    <w:rsid w:val="00EE6156"/>
    <w:rsid w:val="00F44403"/>
    <w:rsid w:val="00F5194E"/>
    <w:rsid w:val="00F801F4"/>
    <w:rsid w:val="00F93384"/>
    <w:rsid w:val="00F971DB"/>
    <w:rsid w:val="00F97988"/>
    <w:rsid w:val="00FB15D5"/>
    <w:rsid w:val="00FB6452"/>
    <w:rsid w:val="00FC138A"/>
    <w:rsid w:val="00FC4FE9"/>
    <w:rsid w:val="00FC5A0D"/>
    <w:rsid w:val="00FC5CAA"/>
    <w:rsid w:val="00FC717B"/>
    <w:rsid w:val="00FD6BD4"/>
    <w:rsid w:val="00FE3C76"/>
    <w:rsid w:val="00FF2BED"/>
    <w:rsid w:val="00FF3CD2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5A65"/>
    <w:rPr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i/>
      <w:sz w:val="22"/>
    </w:rPr>
  </w:style>
  <w:style w:type="paragraph" w:styleId="Ttulo3">
    <w:name w:val="heading 3"/>
    <w:basedOn w:val="Normal"/>
    <w:next w:val="Normal"/>
    <w:qFormat/>
    <w:rsid w:val="006570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DF053A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F053A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DF053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rsid w:val="006570F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570F5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FD6BD4"/>
    <w:pPr>
      <w:jc w:val="center"/>
    </w:pPr>
    <w:rPr>
      <w:rFonts w:ascii="Lucida Sans Unicode" w:hAnsi="Lucida Sans Unicode"/>
      <w:b/>
      <w:snapToGrid w:val="0"/>
      <w:color w:val="000000"/>
      <w:sz w:val="20"/>
    </w:rPr>
  </w:style>
  <w:style w:type="paragraph" w:styleId="Recuodecorpodetexto">
    <w:name w:val="Body Text Indent"/>
    <w:basedOn w:val="Normal"/>
    <w:rsid w:val="00FD6BD4"/>
    <w:pPr>
      <w:ind w:firstLine="1276"/>
      <w:jc w:val="both"/>
    </w:pPr>
  </w:style>
  <w:style w:type="paragraph" w:styleId="Corpodetexto">
    <w:name w:val="Body Text"/>
    <w:basedOn w:val="Normal"/>
    <w:link w:val="CorpodetextoChar"/>
    <w:rsid w:val="00FD6BD4"/>
    <w:pPr>
      <w:spacing w:after="120"/>
      <w:jc w:val="both"/>
    </w:pPr>
    <w:rPr>
      <w:rFonts w:ascii="Arial" w:hAnsi="Arial"/>
      <w:lang w:val="en-US"/>
    </w:rPr>
  </w:style>
  <w:style w:type="paragraph" w:styleId="Textodebalo">
    <w:name w:val="Balloon Text"/>
    <w:basedOn w:val="Normal"/>
    <w:semiHidden/>
    <w:rsid w:val="008B51C5"/>
    <w:rPr>
      <w:rFonts w:ascii="Tahoma" w:hAnsi="Tahoma" w:cs="Tahoma"/>
      <w:sz w:val="16"/>
      <w:szCs w:val="16"/>
    </w:rPr>
  </w:style>
  <w:style w:type="paragraph" w:customStyle="1" w:styleId="carta">
    <w:name w:val="carta"/>
    <w:basedOn w:val="Normal"/>
    <w:rsid w:val="00C73609"/>
    <w:pPr>
      <w:spacing w:before="100" w:beforeAutospacing="1" w:after="100" w:afterAutospacing="1"/>
      <w:jc w:val="both"/>
    </w:pPr>
    <w:rPr>
      <w:rFonts w:ascii="Arial" w:hAnsi="Arial" w:cs="Arial"/>
      <w:i/>
      <w:iCs/>
      <w:color w:val="00008B"/>
      <w:sz w:val="18"/>
      <w:szCs w:val="18"/>
    </w:rPr>
  </w:style>
  <w:style w:type="paragraph" w:customStyle="1" w:styleId="rp">
    <w:name w:val="rp"/>
    <w:basedOn w:val="Normal"/>
    <w:rsid w:val="00C73609"/>
    <w:pPr>
      <w:spacing w:before="100" w:beforeAutospacing="1" w:after="100" w:afterAutospacing="1"/>
      <w:jc w:val="right"/>
    </w:pPr>
    <w:rPr>
      <w:rFonts w:ascii="Arial" w:hAnsi="Arial" w:cs="Arial"/>
      <w:i/>
      <w:iCs/>
      <w:color w:val="00008B"/>
      <w:sz w:val="18"/>
      <w:szCs w:val="18"/>
    </w:rPr>
  </w:style>
  <w:style w:type="paragraph" w:customStyle="1" w:styleId="titazul">
    <w:name w:val="titazul"/>
    <w:basedOn w:val="Normal"/>
    <w:rsid w:val="00C73609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titpreto">
    <w:name w:val="titpreto"/>
    <w:basedOn w:val="Normal"/>
    <w:rsid w:val="00C73609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rtigo">
    <w:name w:val="Artigo"/>
    <w:basedOn w:val="Normal"/>
    <w:rsid w:val="00971BD7"/>
    <w:pPr>
      <w:widowControl w:val="0"/>
      <w:tabs>
        <w:tab w:val="left" w:pos="1134"/>
      </w:tabs>
      <w:spacing w:after="240"/>
      <w:ind w:left="1134" w:hanging="1134"/>
      <w:jc w:val="both"/>
    </w:pPr>
    <w:rPr>
      <w:rFonts w:ascii="Arial" w:hAnsi="Arial"/>
      <w:sz w:val="22"/>
    </w:rPr>
  </w:style>
  <w:style w:type="paragraph" w:styleId="TextosemFormatao">
    <w:name w:val="Plain Text"/>
    <w:basedOn w:val="Normal"/>
    <w:rsid w:val="00497988"/>
    <w:rPr>
      <w:rFonts w:ascii="Courier New" w:hAnsi="Courier New" w:cs="Courier New"/>
      <w:sz w:val="20"/>
    </w:rPr>
  </w:style>
  <w:style w:type="character" w:customStyle="1" w:styleId="CorpodetextoChar">
    <w:name w:val="Corpo de texto Char"/>
    <w:link w:val="Corpodetexto"/>
    <w:rsid w:val="00C850F9"/>
    <w:rPr>
      <w:rFonts w:ascii="Arial" w:hAnsi="Arial"/>
      <w:sz w:val="24"/>
      <w:lang w:val="en-US"/>
    </w:rPr>
  </w:style>
  <w:style w:type="character" w:customStyle="1" w:styleId="apple-converted-space">
    <w:name w:val="apple-converted-space"/>
    <w:rsid w:val="003D5E4C"/>
  </w:style>
  <w:style w:type="paragraph" w:styleId="Corpodetexto3">
    <w:name w:val="Body Text 3"/>
    <w:basedOn w:val="Normal"/>
    <w:link w:val="Corpodetexto3Char"/>
    <w:rsid w:val="003D5E4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D5E4C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D5E4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3D5E4C"/>
    <w:rPr>
      <w:sz w:val="16"/>
      <w:szCs w:val="16"/>
    </w:rPr>
  </w:style>
  <w:style w:type="paragraph" w:styleId="Corpodetexto2">
    <w:name w:val="Body Text 2"/>
    <w:basedOn w:val="Normal"/>
    <w:link w:val="Corpodetexto2Char"/>
    <w:rsid w:val="003D5E4C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3D5E4C"/>
    <w:rPr>
      <w:sz w:val="24"/>
    </w:rPr>
  </w:style>
  <w:style w:type="paragraph" w:styleId="Recuodecorpodetexto2">
    <w:name w:val="Body Text Indent 2"/>
    <w:basedOn w:val="Normal"/>
    <w:link w:val="Recuodecorpodetexto2Char"/>
    <w:rsid w:val="003D5E4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3D5E4C"/>
    <w:rPr>
      <w:sz w:val="24"/>
    </w:rPr>
  </w:style>
  <w:style w:type="paragraph" w:customStyle="1" w:styleId="Blockquote">
    <w:name w:val="Blockquote"/>
    <w:basedOn w:val="Normal"/>
    <w:rsid w:val="003D5E4C"/>
    <w:pPr>
      <w:spacing w:before="100" w:after="100"/>
      <w:ind w:left="360" w:right="360"/>
    </w:pPr>
    <w:rPr>
      <w:snapToGrid w:val="0"/>
    </w:rPr>
  </w:style>
  <w:style w:type="paragraph" w:customStyle="1" w:styleId="romanos">
    <w:name w:val="romanos"/>
    <w:basedOn w:val="Normal"/>
    <w:rsid w:val="003D5E4C"/>
    <w:pPr>
      <w:widowControl w:val="0"/>
      <w:spacing w:after="240"/>
      <w:ind w:left="1560" w:hanging="567"/>
    </w:pPr>
    <w:rPr>
      <w:rFonts w:ascii="Arial" w:hAnsi="Arial"/>
      <w:snapToGrid w:val="0"/>
    </w:rPr>
  </w:style>
  <w:style w:type="paragraph" w:styleId="PargrafodaLista">
    <w:name w:val="List Paragraph"/>
    <w:basedOn w:val="Normal"/>
    <w:uiPriority w:val="34"/>
    <w:qFormat/>
    <w:rsid w:val="003D5E4C"/>
    <w:pPr>
      <w:ind w:left="708"/>
    </w:pPr>
    <w:rPr>
      <w:szCs w:val="24"/>
    </w:rPr>
  </w:style>
  <w:style w:type="character" w:customStyle="1" w:styleId="CabealhoChar">
    <w:name w:val="Cabeçalho Char"/>
    <w:link w:val="Cabealho"/>
    <w:uiPriority w:val="99"/>
    <w:rsid w:val="003D5E4C"/>
    <w:rPr>
      <w:sz w:val="24"/>
    </w:rPr>
  </w:style>
  <w:style w:type="paragraph" w:styleId="NormalWeb">
    <w:name w:val="Normal (Web)"/>
    <w:basedOn w:val="Normal"/>
    <w:uiPriority w:val="99"/>
    <w:unhideWhenUsed/>
    <w:rsid w:val="003D5E4C"/>
    <w:pPr>
      <w:spacing w:before="100" w:beforeAutospacing="1" w:after="100" w:afterAutospacing="1"/>
    </w:pPr>
    <w:rPr>
      <w:szCs w:val="24"/>
    </w:rPr>
  </w:style>
  <w:style w:type="character" w:customStyle="1" w:styleId="Ttulo7Char">
    <w:name w:val="Título 7 Char"/>
    <w:link w:val="Ttulo7"/>
    <w:semiHidden/>
    <w:rsid w:val="00DF053A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semiHidden/>
    <w:rsid w:val="00DF053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semiHidden/>
    <w:rsid w:val="00DF053A"/>
    <w:rPr>
      <w:rFonts w:ascii="Cambria" w:eastAsia="Times New Roman" w:hAnsi="Cambria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5A65"/>
    <w:rPr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i/>
      <w:sz w:val="22"/>
    </w:rPr>
  </w:style>
  <w:style w:type="paragraph" w:styleId="Ttulo3">
    <w:name w:val="heading 3"/>
    <w:basedOn w:val="Normal"/>
    <w:next w:val="Normal"/>
    <w:qFormat/>
    <w:rsid w:val="006570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DF053A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F053A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DF053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rsid w:val="006570F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570F5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FD6BD4"/>
    <w:pPr>
      <w:jc w:val="center"/>
    </w:pPr>
    <w:rPr>
      <w:rFonts w:ascii="Lucida Sans Unicode" w:hAnsi="Lucida Sans Unicode"/>
      <w:b/>
      <w:snapToGrid w:val="0"/>
      <w:color w:val="000000"/>
      <w:sz w:val="20"/>
    </w:rPr>
  </w:style>
  <w:style w:type="paragraph" w:styleId="Recuodecorpodetexto">
    <w:name w:val="Body Text Indent"/>
    <w:basedOn w:val="Normal"/>
    <w:rsid w:val="00FD6BD4"/>
    <w:pPr>
      <w:ind w:firstLine="1276"/>
      <w:jc w:val="both"/>
    </w:pPr>
  </w:style>
  <w:style w:type="paragraph" w:styleId="Corpodetexto">
    <w:name w:val="Body Text"/>
    <w:basedOn w:val="Normal"/>
    <w:link w:val="CorpodetextoChar"/>
    <w:rsid w:val="00FD6BD4"/>
    <w:pPr>
      <w:spacing w:after="120"/>
      <w:jc w:val="both"/>
    </w:pPr>
    <w:rPr>
      <w:rFonts w:ascii="Arial" w:hAnsi="Arial"/>
      <w:lang w:val="en-US"/>
    </w:rPr>
  </w:style>
  <w:style w:type="paragraph" w:styleId="Textodebalo">
    <w:name w:val="Balloon Text"/>
    <w:basedOn w:val="Normal"/>
    <w:semiHidden/>
    <w:rsid w:val="008B51C5"/>
    <w:rPr>
      <w:rFonts w:ascii="Tahoma" w:hAnsi="Tahoma" w:cs="Tahoma"/>
      <w:sz w:val="16"/>
      <w:szCs w:val="16"/>
    </w:rPr>
  </w:style>
  <w:style w:type="paragraph" w:customStyle="1" w:styleId="carta">
    <w:name w:val="carta"/>
    <w:basedOn w:val="Normal"/>
    <w:rsid w:val="00C73609"/>
    <w:pPr>
      <w:spacing w:before="100" w:beforeAutospacing="1" w:after="100" w:afterAutospacing="1"/>
      <w:jc w:val="both"/>
    </w:pPr>
    <w:rPr>
      <w:rFonts w:ascii="Arial" w:hAnsi="Arial" w:cs="Arial"/>
      <w:i/>
      <w:iCs/>
      <w:color w:val="00008B"/>
      <w:sz w:val="18"/>
      <w:szCs w:val="18"/>
    </w:rPr>
  </w:style>
  <w:style w:type="paragraph" w:customStyle="1" w:styleId="rp">
    <w:name w:val="rp"/>
    <w:basedOn w:val="Normal"/>
    <w:rsid w:val="00C73609"/>
    <w:pPr>
      <w:spacing w:before="100" w:beforeAutospacing="1" w:after="100" w:afterAutospacing="1"/>
      <w:jc w:val="right"/>
    </w:pPr>
    <w:rPr>
      <w:rFonts w:ascii="Arial" w:hAnsi="Arial" w:cs="Arial"/>
      <w:i/>
      <w:iCs/>
      <w:color w:val="00008B"/>
      <w:sz w:val="18"/>
      <w:szCs w:val="18"/>
    </w:rPr>
  </w:style>
  <w:style w:type="paragraph" w:customStyle="1" w:styleId="titazul">
    <w:name w:val="titazul"/>
    <w:basedOn w:val="Normal"/>
    <w:rsid w:val="00C73609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titpreto">
    <w:name w:val="titpreto"/>
    <w:basedOn w:val="Normal"/>
    <w:rsid w:val="00C73609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rtigo">
    <w:name w:val="Artigo"/>
    <w:basedOn w:val="Normal"/>
    <w:rsid w:val="00971BD7"/>
    <w:pPr>
      <w:widowControl w:val="0"/>
      <w:tabs>
        <w:tab w:val="left" w:pos="1134"/>
      </w:tabs>
      <w:spacing w:after="240"/>
      <w:ind w:left="1134" w:hanging="1134"/>
      <w:jc w:val="both"/>
    </w:pPr>
    <w:rPr>
      <w:rFonts w:ascii="Arial" w:hAnsi="Arial"/>
      <w:sz w:val="22"/>
    </w:rPr>
  </w:style>
  <w:style w:type="paragraph" w:styleId="TextosemFormatao">
    <w:name w:val="Plain Text"/>
    <w:basedOn w:val="Normal"/>
    <w:rsid w:val="00497988"/>
    <w:rPr>
      <w:rFonts w:ascii="Courier New" w:hAnsi="Courier New" w:cs="Courier New"/>
      <w:sz w:val="20"/>
    </w:rPr>
  </w:style>
  <w:style w:type="character" w:customStyle="1" w:styleId="CorpodetextoChar">
    <w:name w:val="Corpo de texto Char"/>
    <w:link w:val="Corpodetexto"/>
    <w:rsid w:val="00C850F9"/>
    <w:rPr>
      <w:rFonts w:ascii="Arial" w:hAnsi="Arial"/>
      <w:sz w:val="24"/>
      <w:lang w:val="en-US"/>
    </w:rPr>
  </w:style>
  <w:style w:type="character" w:customStyle="1" w:styleId="apple-converted-space">
    <w:name w:val="apple-converted-space"/>
    <w:rsid w:val="003D5E4C"/>
  </w:style>
  <w:style w:type="paragraph" w:styleId="Corpodetexto3">
    <w:name w:val="Body Text 3"/>
    <w:basedOn w:val="Normal"/>
    <w:link w:val="Corpodetexto3Char"/>
    <w:rsid w:val="003D5E4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D5E4C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D5E4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3D5E4C"/>
    <w:rPr>
      <w:sz w:val="16"/>
      <w:szCs w:val="16"/>
    </w:rPr>
  </w:style>
  <w:style w:type="paragraph" w:styleId="Corpodetexto2">
    <w:name w:val="Body Text 2"/>
    <w:basedOn w:val="Normal"/>
    <w:link w:val="Corpodetexto2Char"/>
    <w:rsid w:val="003D5E4C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3D5E4C"/>
    <w:rPr>
      <w:sz w:val="24"/>
    </w:rPr>
  </w:style>
  <w:style w:type="paragraph" w:styleId="Recuodecorpodetexto2">
    <w:name w:val="Body Text Indent 2"/>
    <w:basedOn w:val="Normal"/>
    <w:link w:val="Recuodecorpodetexto2Char"/>
    <w:rsid w:val="003D5E4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3D5E4C"/>
    <w:rPr>
      <w:sz w:val="24"/>
    </w:rPr>
  </w:style>
  <w:style w:type="paragraph" w:customStyle="1" w:styleId="Blockquote">
    <w:name w:val="Blockquote"/>
    <w:basedOn w:val="Normal"/>
    <w:rsid w:val="003D5E4C"/>
    <w:pPr>
      <w:spacing w:before="100" w:after="100"/>
      <w:ind w:left="360" w:right="360"/>
    </w:pPr>
    <w:rPr>
      <w:snapToGrid w:val="0"/>
    </w:rPr>
  </w:style>
  <w:style w:type="paragraph" w:customStyle="1" w:styleId="romanos">
    <w:name w:val="romanos"/>
    <w:basedOn w:val="Normal"/>
    <w:rsid w:val="003D5E4C"/>
    <w:pPr>
      <w:widowControl w:val="0"/>
      <w:spacing w:after="240"/>
      <w:ind w:left="1560" w:hanging="567"/>
    </w:pPr>
    <w:rPr>
      <w:rFonts w:ascii="Arial" w:hAnsi="Arial"/>
      <w:snapToGrid w:val="0"/>
    </w:rPr>
  </w:style>
  <w:style w:type="paragraph" w:styleId="PargrafodaLista">
    <w:name w:val="List Paragraph"/>
    <w:basedOn w:val="Normal"/>
    <w:uiPriority w:val="34"/>
    <w:qFormat/>
    <w:rsid w:val="003D5E4C"/>
    <w:pPr>
      <w:ind w:left="708"/>
    </w:pPr>
    <w:rPr>
      <w:szCs w:val="24"/>
    </w:rPr>
  </w:style>
  <w:style w:type="character" w:customStyle="1" w:styleId="CabealhoChar">
    <w:name w:val="Cabeçalho Char"/>
    <w:link w:val="Cabealho"/>
    <w:uiPriority w:val="99"/>
    <w:rsid w:val="003D5E4C"/>
    <w:rPr>
      <w:sz w:val="24"/>
    </w:rPr>
  </w:style>
  <w:style w:type="paragraph" w:styleId="NormalWeb">
    <w:name w:val="Normal (Web)"/>
    <w:basedOn w:val="Normal"/>
    <w:uiPriority w:val="99"/>
    <w:unhideWhenUsed/>
    <w:rsid w:val="003D5E4C"/>
    <w:pPr>
      <w:spacing w:before="100" w:beforeAutospacing="1" w:after="100" w:afterAutospacing="1"/>
    </w:pPr>
    <w:rPr>
      <w:szCs w:val="24"/>
    </w:rPr>
  </w:style>
  <w:style w:type="character" w:customStyle="1" w:styleId="Ttulo7Char">
    <w:name w:val="Título 7 Char"/>
    <w:link w:val="Ttulo7"/>
    <w:semiHidden/>
    <w:rsid w:val="00DF053A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semiHidden/>
    <w:rsid w:val="00DF053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semiHidden/>
    <w:rsid w:val="00DF053A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Prefeitura\c\Julio\julio\Foto\TIMBRE%20PMS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25BDD-9439-4155-93A8-40BF685E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837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>Pref Mun de Sumidouro</Company>
  <LinksUpToDate>false</LinksUpToDate>
  <CharactersWithSpaces>5348</CharactersWithSpaces>
  <SharedDoc>false</SharedDoc>
  <HLinks>
    <vt:vector size="6" baseType="variant">
      <vt:variant>
        <vt:i4>7864402</vt:i4>
      </vt:variant>
      <vt:variant>
        <vt:i4>-1</vt:i4>
      </vt:variant>
      <vt:variant>
        <vt:i4>2054</vt:i4>
      </vt:variant>
      <vt:variant>
        <vt:i4>1</vt:i4>
      </vt:variant>
      <vt:variant>
        <vt:lpwstr>\\Prefeitura\c\Julio\julio\Foto\TIMBRE PMS.jpg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washington</dc:creator>
  <cp:lastModifiedBy>win</cp:lastModifiedBy>
  <cp:revision>2</cp:revision>
  <cp:lastPrinted>2017-11-01T14:48:00Z</cp:lastPrinted>
  <dcterms:created xsi:type="dcterms:W3CDTF">2017-11-09T17:20:00Z</dcterms:created>
  <dcterms:modified xsi:type="dcterms:W3CDTF">2017-11-09T17:20:00Z</dcterms:modified>
</cp:coreProperties>
</file>